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E826F0" w14:textId="77777777" w:rsidR="009C0AC0" w:rsidRDefault="005008C4" w:rsidP="009C0AC0">
      <w:r w:rsidRPr="005008C4"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FE4CC26" wp14:editId="27789271">
                <wp:simplePos x="0" y="0"/>
                <wp:positionH relativeFrom="margin">
                  <wp:posOffset>762000</wp:posOffset>
                </wp:positionH>
                <wp:positionV relativeFrom="paragraph">
                  <wp:posOffset>-828675</wp:posOffset>
                </wp:positionV>
                <wp:extent cx="4200603" cy="2138045"/>
                <wp:effectExtent l="0" t="0" r="0" b="0"/>
                <wp:wrapNone/>
                <wp:docPr id="2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00603" cy="2138045"/>
                          <a:chOff x="0" y="0"/>
                          <a:chExt cx="4200603" cy="2138045"/>
                        </a:xfrm>
                      </wpg:grpSpPr>
                      <wps:wsp>
                        <wps:cNvPr id="3" name="TextBox 2"/>
                        <wps:cNvSpPr txBox="1"/>
                        <wps:spPr>
                          <a:xfrm>
                            <a:off x="1461537" y="0"/>
                            <a:ext cx="1710690" cy="213804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BB7522B" w14:textId="77777777" w:rsidR="005008C4" w:rsidRDefault="005008C4" w:rsidP="005008C4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F4901E"/>
                                  <w:kern w:val="24"/>
                                  <w:sz w:val="264"/>
                                  <w:szCs w:val="264"/>
                                </w:rPr>
                                <w:t>IP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4" name="Rectangle 4"/>
                        <wps:cNvSpPr/>
                        <wps:spPr>
                          <a:xfrm>
                            <a:off x="171900" y="1613837"/>
                            <a:ext cx="3644265" cy="4635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5E48B3D" w14:textId="77777777" w:rsidR="005008C4" w:rsidRDefault="005008C4" w:rsidP="005008C4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48"/>
                                  <w:szCs w:val="48"/>
                                </w:rPr>
                                <w:t>IP Themes for Businessmen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  <wps:wsp>
                        <wps:cNvPr id="5" name="Rectangle 5"/>
                        <wps:cNvSpPr/>
                        <wps:spPr>
                          <a:xfrm>
                            <a:off x="2679143" y="273021"/>
                            <a:ext cx="1521460" cy="17659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61057B4" w14:textId="77777777" w:rsidR="005008C4" w:rsidRDefault="005008C4" w:rsidP="005008C4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16"/>
                                  <w:szCs w:val="216"/>
                                </w:rPr>
                                <w:t>ET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  <wps:wsp>
                        <wps:cNvPr id="6" name="Rectangle 6"/>
                        <wps:cNvSpPr/>
                        <wps:spPr>
                          <a:xfrm>
                            <a:off x="0" y="273021"/>
                            <a:ext cx="1698625" cy="17659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56BC123" w14:textId="77777777" w:rsidR="005008C4" w:rsidRDefault="005008C4" w:rsidP="005008C4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16"/>
                                  <w:szCs w:val="216"/>
                                </w:rPr>
                                <w:t>SN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FE4CC26" id="Group 1" o:spid="_x0000_s1026" style="position:absolute;margin-left:60pt;margin-top:-65.25pt;width:330.75pt;height:168.35pt;z-index:251661312;mso-position-horizontal-relative:margin" coordsize="42006,21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2" o:spid="_x0000_s1027" type="#_x0000_t202" style="position:absolute;left:14615;width:17107;height:21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" filled="f" stroked="f">
                  <v:textbox style="mso-fit-shape-to-text:t">
                    <w:txbxContent>
                      <w:p w14:paraId="4BB7522B" w14:textId="77777777" w:rsidR="005008C4" w:rsidRDefault="005008C4" w:rsidP="005008C4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F4901E"/>
                            <w:kern w:val="24"/>
                            <w:sz w:val="264"/>
                            <w:szCs w:val="264"/>
                          </w:rPr>
                          <w:t>IP</w:t>
                        </w:r>
                      </w:p>
                    </w:txbxContent>
                  </v:textbox>
                </v:shape>
                <v:rect id="Rectangle 4" o:spid="_x0000_s1028" style="position:absolute;left:1719;top:16138;width:36442;height:463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" filled="f" stroked="f">
                  <v:textbox style="mso-fit-shape-to-text:t">
                    <w:txbxContent>
                      <w:p w14:paraId="45E48B3D" w14:textId="77777777" w:rsidR="005008C4" w:rsidRDefault="005008C4" w:rsidP="005008C4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48"/>
                            <w:szCs w:val="48"/>
                          </w:rPr>
                          <w:t>IP Themes for Businessmen</w:t>
                        </w:r>
                      </w:p>
                    </w:txbxContent>
                  </v:textbox>
                </v:rect>
                <v:rect id="Rectangle 5" o:spid="_x0000_s1029" style="position:absolute;left:26791;top:2730;width:15215;height:176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" filled="f" stroked="f">
                  <v:textbox style="mso-fit-shape-to-text:t">
                    <w:txbxContent>
                      <w:p w14:paraId="061057B4" w14:textId="77777777" w:rsidR="005008C4" w:rsidRDefault="005008C4" w:rsidP="005008C4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16"/>
                            <w:szCs w:val="216"/>
                          </w:rPr>
                          <w:t>ET</w:t>
                        </w:r>
                      </w:p>
                    </w:txbxContent>
                  </v:textbox>
                </v:rect>
                <v:rect id="Rectangle 6" o:spid="_x0000_s1030" style="position:absolute;top:2730;width:16986;height:176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" filled="f" stroked="f">
                  <v:textbox style="mso-fit-shape-to-text:t">
                    <w:txbxContent>
                      <w:p w14:paraId="156BC123" w14:textId="77777777" w:rsidR="005008C4" w:rsidRDefault="005008C4" w:rsidP="005008C4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16"/>
                            <w:szCs w:val="216"/>
                          </w:rPr>
                          <w:t>SN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</w:p>
    <w:p w14:paraId="6E2A9941" w14:textId="77777777" w:rsidR="009B652B" w:rsidRDefault="009B652B" w:rsidP="009C0AC0"/>
    <w:p w14:paraId="73464B2C" w14:textId="77777777" w:rsidR="00045F3A" w:rsidRDefault="00045F3A" w:rsidP="009C0AC0"/>
    <w:p w14:paraId="6ABEBADD" w14:textId="77777777" w:rsidR="00937F6B" w:rsidRDefault="00937F6B" w:rsidP="009C0AC0">
      <w:pPr>
        <w:rPr>
          <w:b/>
          <w:sz w:val="28"/>
          <w:szCs w:val="28"/>
        </w:rPr>
      </w:pPr>
    </w:p>
    <w:p w14:paraId="32138F12" w14:textId="77777777" w:rsidR="00937F6B" w:rsidRDefault="00937F6B" w:rsidP="009C0AC0">
      <w:pPr>
        <w:rPr>
          <w:b/>
          <w:sz w:val="28"/>
          <w:szCs w:val="28"/>
        </w:rPr>
      </w:pPr>
    </w:p>
    <w:p w14:paraId="336476C3" w14:textId="77777777" w:rsidR="00937F6B" w:rsidRDefault="00937F6B" w:rsidP="009C0AC0">
      <w:pPr>
        <w:rPr>
          <w:b/>
          <w:sz w:val="28"/>
          <w:szCs w:val="28"/>
        </w:rPr>
      </w:pPr>
    </w:p>
    <w:p w14:paraId="302CECC9" w14:textId="77777777" w:rsidR="00937F6B" w:rsidRDefault="00937F6B" w:rsidP="009C0AC0">
      <w:pPr>
        <w:rPr>
          <w:b/>
          <w:sz w:val="28"/>
          <w:szCs w:val="28"/>
        </w:rPr>
      </w:pPr>
    </w:p>
    <w:p w14:paraId="46849B9C" w14:textId="77777777" w:rsidR="00937F6B" w:rsidRDefault="00937F6B" w:rsidP="009C0AC0">
      <w:pPr>
        <w:rPr>
          <w:b/>
          <w:sz w:val="28"/>
          <w:szCs w:val="28"/>
        </w:rPr>
      </w:pPr>
    </w:p>
    <w:p w14:paraId="6852792D" w14:textId="1DCC5391" w:rsidR="00C5736E" w:rsidRPr="00C5736E" w:rsidRDefault="009567BC" w:rsidP="009C0AC0">
      <w:pPr>
        <w:rPr>
          <w:b/>
          <w:sz w:val="28"/>
          <w:szCs w:val="28"/>
        </w:rPr>
      </w:pPr>
      <w:r>
        <w:rPr>
          <w:b/>
          <w:sz w:val="28"/>
          <w:szCs w:val="28"/>
        </w:rPr>
        <w:t>S</w:t>
      </w:r>
      <w:r w:rsidR="00C5736E" w:rsidRPr="00C5736E">
        <w:rPr>
          <w:b/>
          <w:sz w:val="28"/>
          <w:szCs w:val="28"/>
        </w:rPr>
        <w:t>tate of the art, novelty</w:t>
      </w:r>
      <w:r>
        <w:rPr>
          <w:b/>
          <w:sz w:val="28"/>
          <w:szCs w:val="28"/>
        </w:rPr>
        <w:t xml:space="preserve"> </w:t>
      </w:r>
      <w:r w:rsidR="00C5736E" w:rsidRPr="00C5736E">
        <w:rPr>
          <w:b/>
          <w:sz w:val="28"/>
          <w:szCs w:val="28"/>
        </w:rPr>
        <w:t>and what patent office reports mean</w:t>
      </w:r>
      <w:r w:rsidR="001E582C">
        <w:rPr>
          <w:b/>
          <w:sz w:val="28"/>
          <w:szCs w:val="28"/>
        </w:rPr>
        <w:t xml:space="preserve"> / May 23, 2018</w:t>
      </w:r>
    </w:p>
    <w:p w14:paraId="3EFF9475" w14:textId="77777777" w:rsidR="00C5736E" w:rsidRDefault="00C5736E" w:rsidP="009C0AC0"/>
    <w:p w14:paraId="15F2E15C" w14:textId="6A966D41" w:rsidR="009B652B" w:rsidRDefault="008B7F90" w:rsidP="001E582C">
      <w:pPr>
        <w:jc w:val="both"/>
      </w:pPr>
      <w:r>
        <w:t xml:space="preserve">In patent application procedure, an </w:t>
      </w:r>
      <w:r w:rsidR="006F4FB2">
        <w:t>“</w:t>
      </w:r>
      <w:r w:rsidR="006F4FB2" w:rsidRPr="00693144">
        <w:rPr>
          <w:i/>
        </w:rPr>
        <w:t>Examiner</w:t>
      </w:r>
      <w:r w:rsidR="006F4FB2">
        <w:t xml:space="preserve">” </w:t>
      </w:r>
      <w:r w:rsidR="0000556A">
        <w:t>compare</w:t>
      </w:r>
      <w:r w:rsidR="006209F3">
        <w:t>s</w:t>
      </w:r>
      <w:r w:rsidR="00045F3A">
        <w:t xml:space="preserve"> </w:t>
      </w:r>
      <w:r>
        <w:t xml:space="preserve">a </w:t>
      </w:r>
      <w:r w:rsidR="006F4FB2">
        <w:t xml:space="preserve">new </w:t>
      </w:r>
      <w:r w:rsidR="004477E3">
        <w:t xml:space="preserve">patent application </w:t>
      </w:r>
      <w:r w:rsidR="00045F3A">
        <w:t>with</w:t>
      </w:r>
      <w:r w:rsidR="00CF34FA">
        <w:t xml:space="preserve"> the “</w:t>
      </w:r>
      <w:r w:rsidR="00CF34FA" w:rsidRPr="00D26562">
        <w:rPr>
          <w:i/>
        </w:rPr>
        <w:t>state of the art</w:t>
      </w:r>
      <w:r w:rsidR="00D12E99">
        <w:rPr>
          <w:i/>
        </w:rPr>
        <w:t>”</w:t>
      </w:r>
      <w:r w:rsidR="00D32D49">
        <w:rPr>
          <w:i/>
        </w:rPr>
        <w:t xml:space="preserve">.  </w:t>
      </w:r>
      <w:r w:rsidR="006209F3" w:rsidRPr="005545EE">
        <w:t>He then</w:t>
      </w:r>
      <w:r w:rsidR="003F50A5" w:rsidRPr="005545EE">
        <w:t xml:space="preserve"> issues</w:t>
      </w:r>
      <w:r w:rsidR="003F50A5">
        <w:t xml:space="preserve"> an </w:t>
      </w:r>
      <w:r w:rsidR="009B652B">
        <w:t>off</w:t>
      </w:r>
      <w:r w:rsidR="00BA69B0">
        <w:t>icial report</w:t>
      </w:r>
      <w:r w:rsidR="003F50A5">
        <w:t xml:space="preserve"> </w:t>
      </w:r>
      <w:r w:rsidR="006F4FB2">
        <w:t>listing</w:t>
      </w:r>
      <w:r w:rsidR="009B652B">
        <w:t xml:space="preserve"> </w:t>
      </w:r>
      <w:r w:rsidR="00A71ABC">
        <w:t>earlier published</w:t>
      </w:r>
      <w:r w:rsidR="00BA69B0">
        <w:t xml:space="preserve"> </w:t>
      </w:r>
      <w:r w:rsidR="006209F3">
        <w:t xml:space="preserve">documents </w:t>
      </w:r>
      <w:r w:rsidR="00BA69B0">
        <w:t>(called “</w:t>
      </w:r>
      <w:r w:rsidR="00BA69B0" w:rsidRPr="003E517B">
        <w:rPr>
          <w:i/>
        </w:rPr>
        <w:t>citations</w:t>
      </w:r>
      <w:r w:rsidR="00BA69B0">
        <w:t>”)</w:t>
      </w:r>
      <w:r w:rsidR="009B652B">
        <w:t xml:space="preserve">. It’s at this point patent applicants </w:t>
      </w:r>
      <w:r w:rsidR="00ED396D">
        <w:t xml:space="preserve">can </w:t>
      </w:r>
      <w:r w:rsidR="009B652B">
        <w:t xml:space="preserve">get nervous and </w:t>
      </w:r>
      <w:r w:rsidR="006F4FB2">
        <w:t xml:space="preserve">misunderstandings </w:t>
      </w:r>
      <w:r w:rsidR="009B652B">
        <w:t>can follow.  Let’s explode some myths:</w:t>
      </w:r>
      <w:bookmarkStart w:id="0" w:name="_GoBack"/>
      <w:bookmarkEnd w:id="0"/>
    </w:p>
    <w:p w14:paraId="21BC3D6C" w14:textId="77777777" w:rsidR="009B652B" w:rsidRDefault="009B652B" w:rsidP="009C0AC0"/>
    <w:p w14:paraId="4D8D1826" w14:textId="02FCCD57" w:rsidR="009B652B" w:rsidRPr="00452F27" w:rsidRDefault="00045F3A" w:rsidP="00452F27">
      <w:pPr>
        <w:rPr>
          <w:b/>
          <w:i/>
        </w:rPr>
      </w:pPr>
      <w:r w:rsidRPr="00452F27">
        <w:rPr>
          <w:b/>
          <w:i/>
        </w:rPr>
        <w:t>“The Examiner lists lots of documents</w:t>
      </w:r>
      <w:r w:rsidR="003E517B" w:rsidRPr="00452F27">
        <w:rPr>
          <w:b/>
          <w:i/>
        </w:rPr>
        <w:t xml:space="preserve"> - </w:t>
      </w:r>
      <w:r w:rsidRPr="00452F27">
        <w:rPr>
          <w:b/>
          <w:i/>
        </w:rPr>
        <w:t xml:space="preserve">it </w:t>
      </w:r>
      <w:r w:rsidR="00A71ABC">
        <w:rPr>
          <w:b/>
          <w:i/>
        </w:rPr>
        <w:t>looks</w:t>
      </w:r>
      <w:r w:rsidR="00805AD7">
        <w:rPr>
          <w:b/>
          <w:i/>
        </w:rPr>
        <w:t xml:space="preserve"> pretty </w:t>
      </w:r>
      <w:r w:rsidRPr="00452F27">
        <w:rPr>
          <w:b/>
          <w:i/>
        </w:rPr>
        <w:t>hopeless”</w:t>
      </w:r>
    </w:p>
    <w:p w14:paraId="38E44152" w14:textId="77777777" w:rsidR="00126AD9" w:rsidRDefault="00126AD9" w:rsidP="00045F3A">
      <w:pPr>
        <w:pStyle w:val="ListParagraph"/>
        <w:ind w:left="284"/>
      </w:pPr>
    </w:p>
    <w:p w14:paraId="27AAC6A0" w14:textId="1FD8BA71" w:rsidR="00045F3A" w:rsidRDefault="00805AD7" w:rsidP="00693144">
      <w:pPr>
        <w:jc w:val="both"/>
      </w:pPr>
      <w:r>
        <w:t>Not necessarily.</w:t>
      </w:r>
      <w:r w:rsidR="006F4FB2">
        <w:t xml:space="preserve"> </w:t>
      </w:r>
      <w:r>
        <w:t>I</w:t>
      </w:r>
      <w:r w:rsidR="006F4FB2">
        <w:t>n itself,</w:t>
      </w:r>
      <w:r w:rsidR="00045F3A">
        <w:t xml:space="preserve"> </w:t>
      </w:r>
      <w:r w:rsidR="00126AD9">
        <w:t>an extensive list</w:t>
      </w:r>
      <w:r w:rsidR="00045F3A">
        <w:t xml:space="preserve"> </w:t>
      </w:r>
      <w:r w:rsidR="00BA69B0">
        <w:t xml:space="preserve">of citations </w:t>
      </w:r>
      <w:r w:rsidR="00045F3A">
        <w:t xml:space="preserve">doesn’t mean </w:t>
      </w:r>
      <w:r w:rsidR="00ED396D">
        <w:t xml:space="preserve">that </w:t>
      </w:r>
      <w:r w:rsidR="00045F3A">
        <w:t>much.  You’</w:t>
      </w:r>
      <w:r w:rsidR="009B02F6">
        <w:t>d be surp</w:t>
      </w:r>
      <w:r w:rsidR="00045F3A">
        <w:t xml:space="preserve">rised </w:t>
      </w:r>
      <w:r w:rsidR="009B02F6">
        <w:t>at the subtle amendments and intricate arguments patent attorneys come up with.</w:t>
      </w:r>
    </w:p>
    <w:p w14:paraId="5D92A7D0" w14:textId="77777777" w:rsidR="009B02F6" w:rsidRPr="00045F3A" w:rsidRDefault="009B02F6" w:rsidP="00045F3A">
      <w:pPr>
        <w:pStyle w:val="ListParagraph"/>
        <w:ind w:left="284"/>
      </w:pPr>
    </w:p>
    <w:p w14:paraId="5E3CBF89" w14:textId="5875350D" w:rsidR="00045F3A" w:rsidRPr="00452F27" w:rsidRDefault="00045F3A" w:rsidP="00452F27">
      <w:pPr>
        <w:rPr>
          <w:b/>
          <w:i/>
        </w:rPr>
      </w:pPr>
      <w:r w:rsidRPr="00452F27">
        <w:rPr>
          <w:b/>
          <w:i/>
        </w:rPr>
        <w:t>“The</w:t>
      </w:r>
      <w:r w:rsidR="0000556A" w:rsidRPr="00452F27">
        <w:rPr>
          <w:b/>
          <w:i/>
        </w:rPr>
        <w:t xml:space="preserve"> documents are </w:t>
      </w:r>
      <w:r w:rsidR="00805AD7">
        <w:rPr>
          <w:b/>
          <w:i/>
        </w:rPr>
        <w:t>mostly</w:t>
      </w:r>
      <w:r w:rsidR="0000556A" w:rsidRPr="00452F27">
        <w:rPr>
          <w:b/>
          <w:i/>
        </w:rPr>
        <w:t xml:space="preserve"> American.  S</w:t>
      </w:r>
      <w:r w:rsidRPr="00452F27">
        <w:rPr>
          <w:b/>
          <w:i/>
        </w:rPr>
        <w:t>urely they don’t count</w:t>
      </w:r>
      <w:bookmarkStart w:id="1" w:name="_Hlk515635489"/>
      <w:r w:rsidR="0000556A" w:rsidRPr="00452F27">
        <w:rPr>
          <w:b/>
          <w:i/>
        </w:rPr>
        <w:t xml:space="preserve"> -</w:t>
      </w:r>
      <w:r w:rsidRPr="00452F27">
        <w:rPr>
          <w:b/>
          <w:i/>
        </w:rPr>
        <w:t xml:space="preserve"> </w:t>
      </w:r>
      <w:bookmarkEnd w:id="1"/>
      <w:r w:rsidRPr="00452F27">
        <w:rPr>
          <w:b/>
          <w:i/>
        </w:rPr>
        <w:t>we have a UK patent application”</w:t>
      </w:r>
    </w:p>
    <w:p w14:paraId="5B8CD6F7" w14:textId="77777777" w:rsidR="00126AD9" w:rsidRDefault="00126AD9" w:rsidP="001E582C">
      <w:pPr>
        <w:pStyle w:val="ListParagraph"/>
        <w:ind w:left="284"/>
        <w:jc w:val="both"/>
        <w:rPr>
          <w:i/>
        </w:rPr>
      </w:pPr>
    </w:p>
    <w:p w14:paraId="451FA6A9" w14:textId="77777777" w:rsidR="009B02F6" w:rsidRDefault="009B02F6" w:rsidP="00693144">
      <w:pPr>
        <w:jc w:val="both"/>
      </w:pPr>
      <w:r w:rsidRPr="009B02F6">
        <w:t xml:space="preserve">No, they all count if they are “prior” to the relevant patent application date.  American </w:t>
      </w:r>
      <w:r w:rsidRPr="00693144">
        <w:rPr>
          <w:i/>
        </w:rPr>
        <w:t>state of the a</w:t>
      </w:r>
      <w:r w:rsidR="00C04453" w:rsidRPr="00693144">
        <w:rPr>
          <w:i/>
        </w:rPr>
        <w:t>rt</w:t>
      </w:r>
      <w:r w:rsidR="00C04453">
        <w:t xml:space="preserve"> is as good as any other.</w:t>
      </w:r>
    </w:p>
    <w:p w14:paraId="6A496E92" w14:textId="77777777" w:rsidR="0000556A" w:rsidRPr="009B02F6" w:rsidRDefault="0000556A" w:rsidP="009B02F6">
      <w:pPr>
        <w:pStyle w:val="ListParagraph"/>
        <w:ind w:left="284"/>
      </w:pPr>
    </w:p>
    <w:p w14:paraId="52FBBC14" w14:textId="70247E7F" w:rsidR="00805AD7" w:rsidRDefault="00C73FDD" w:rsidP="00693144">
      <w:pPr>
        <w:rPr>
          <w:b/>
          <w:i/>
        </w:rPr>
      </w:pPr>
      <w:r>
        <w:rPr>
          <w:b/>
          <w:i/>
        </w:rPr>
        <w:t>“</w:t>
      </w:r>
      <w:r w:rsidR="00805AD7">
        <w:rPr>
          <w:b/>
          <w:i/>
        </w:rPr>
        <w:t>All the documents are patent documents</w:t>
      </w:r>
      <w:r>
        <w:rPr>
          <w:b/>
          <w:i/>
        </w:rPr>
        <w:t>. S</w:t>
      </w:r>
      <w:r w:rsidR="00805AD7">
        <w:rPr>
          <w:b/>
          <w:i/>
        </w:rPr>
        <w:t>hould we assume the Examiner thinks we infring</w:t>
      </w:r>
      <w:r>
        <w:rPr>
          <w:b/>
          <w:i/>
        </w:rPr>
        <w:t>e</w:t>
      </w:r>
      <w:r w:rsidR="00805AD7">
        <w:rPr>
          <w:b/>
          <w:i/>
        </w:rPr>
        <w:t>?</w:t>
      </w:r>
    </w:p>
    <w:p w14:paraId="4D710B46" w14:textId="77777777" w:rsidR="00805AD7" w:rsidRDefault="00805AD7" w:rsidP="00693144">
      <w:pPr>
        <w:rPr>
          <w:b/>
          <w:i/>
        </w:rPr>
      </w:pPr>
    </w:p>
    <w:p w14:paraId="798A6CDA" w14:textId="2F4757C5" w:rsidR="006707A7" w:rsidRDefault="00C73FDD" w:rsidP="00C73FDD">
      <w:pPr>
        <w:jc w:val="both"/>
      </w:pPr>
      <w:r>
        <w:t>No. T</w:t>
      </w:r>
      <w:r w:rsidR="00805AD7" w:rsidRPr="00805AD7">
        <w:t>he most comprehensive structured technical document collection is the global patent publications collection</w:t>
      </w:r>
      <w:r w:rsidR="00805AD7">
        <w:t xml:space="preserve">. </w:t>
      </w:r>
      <w:r>
        <w:t>I</w:t>
      </w:r>
      <w:r w:rsidR="00805AD7" w:rsidRPr="00805AD7">
        <w:t xml:space="preserve">t’s often treated as representative </w:t>
      </w:r>
      <w:r w:rsidR="00805AD7">
        <w:t xml:space="preserve">of the state of the art </w:t>
      </w:r>
      <w:r w:rsidR="00805AD7" w:rsidRPr="00805AD7">
        <w:t>and</w:t>
      </w:r>
      <w:r>
        <w:t xml:space="preserve">, </w:t>
      </w:r>
      <w:r w:rsidR="006707A7">
        <w:t xml:space="preserve">simply </w:t>
      </w:r>
      <w:r>
        <w:t xml:space="preserve">to be practical, </w:t>
      </w:r>
      <w:r w:rsidR="00805AD7" w:rsidRPr="00805AD7">
        <w:t xml:space="preserve">it’s where </w:t>
      </w:r>
      <w:r w:rsidR="006209F3">
        <w:t>an</w:t>
      </w:r>
      <w:r w:rsidR="00805AD7" w:rsidRPr="00805AD7">
        <w:t xml:space="preserve"> Examiner </w:t>
      </w:r>
      <w:r>
        <w:t>usually concentrates efforts</w:t>
      </w:r>
      <w:r w:rsidR="00A71ABC">
        <w:t xml:space="preserve"> to find relevant prior documents</w:t>
      </w:r>
      <w:r w:rsidR="00805AD7" w:rsidRPr="00805AD7">
        <w:t>.</w:t>
      </w:r>
      <w:r>
        <w:t xml:space="preserve"> </w:t>
      </w:r>
    </w:p>
    <w:p w14:paraId="76EA3581" w14:textId="77777777" w:rsidR="006707A7" w:rsidRDefault="006707A7" w:rsidP="00C73FDD">
      <w:pPr>
        <w:jc w:val="both"/>
      </w:pPr>
    </w:p>
    <w:p w14:paraId="731419B0" w14:textId="15422DD6" w:rsidR="00287C41" w:rsidRDefault="00C73FDD" w:rsidP="00287C41">
      <w:pPr>
        <w:jc w:val="both"/>
      </w:pPr>
      <w:r>
        <w:t xml:space="preserve">He’s interested in their </w:t>
      </w:r>
      <w:r w:rsidR="00805AD7" w:rsidRPr="00805AD7">
        <w:rPr>
          <w:i/>
        </w:rPr>
        <w:t>technical personality</w:t>
      </w:r>
      <w:r w:rsidR="00805AD7" w:rsidRPr="009B02F6">
        <w:t xml:space="preserve"> </w:t>
      </w:r>
      <w:r w:rsidR="00805AD7">
        <w:t xml:space="preserve">(what they </w:t>
      </w:r>
      <w:r w:rsidR="00805AD7" w:rsidRPr="00805AD7">
        <w:rPr>
          <w:u w:val="single"/>
        </w:rPr>
        <w:t>disclose</w:t>
      </w:r>
      <w:r w:rsidR="00805AD7">
        <w:t xml:space="preserve">) </w:t>
      </w:r>
      <w:r w:rsidR="006707A7">
        <w:t>and not</w:t>
      </w:r>
      <w:r w:rsidR="00287C41">
        <w:t xml:space="preserve"> their </w:t>
      </w:r>
      <w:r w:rsidR="00805AD7" w:rsidRPr="00805AD7">
        <w:rPr>
          <w:i/>
        </w:rPr>
        <w:t>legal personality</w:t>
      </w:r>
      <w:r w:rsidR="00805AD7">
        <w:t xml:space="preserve"> (the </w:t>
      </w:r>
      <w:r w:rsidR="00805AD7" w:rsidRPr="00805AD7">
        <w:rPr>
          <w:u w:val="single"/>
        </w:rPr>
        <w:t>legal rights</w:t>
      </w:r>
      <w:r w:rsidR="00805AD7">
        <w:t xml:space="preserve"> they </w:t>
      </w:r>
      <w:r w:rsidR="00805AD7" w:rsidRPr="003E517B">
        <w:t>claim</w:t>
      </w:r>
      <w:r w:rsidR="006707A7">
        <w:t>).</w:t>
      </w:r>
      <w:r w:rsidR="006209F3">
        <w:t xml:space="preserve">  </w:t>
      </w:r>
      <w:r w:rsidR="00287C41">
        <w:t>For example, a 201</w:t>
      </w:r>
      <w:r w:rsidR="00287C41">
        <w:t>5</w:t>
      </w:r>
      <w:r w:rsidR="00287C41">
        <w:t xml:space="preserve">-published patent P </w:t>
      </w:r>
      <w:r w:rsidR="00287C41">
        <w:t>which</w:t>
      </w:r>
      <w:r w:rsidR="00287C41">
        <w:t xml:space="preserve"> </w:t>
      </w:r>
      <w:r w:rsidR="00287C41" w:rsidRPr="00C73FDD">
        <w:rPr>
          <w:u w:val="single"/>
        </w:rPr>
        <w:t>disclose</w:t>
      </w:r>
      <w:r w:rsidR="00287C41">
        <w:rPr>
          <w:u w:val="single"/>
        </w:rPr>
        <w:t>s</w:t>
      </w:r>
      <w:r w:rsidR="00287C41">
        <w:t xml:space="preserve"> a paint made by adding an additive to an initial mixture</w:t>
      </w:r>
      <w:r w:rsidR="00D32D49">
        <w:t xml:space="preserve"> </w:t>
      </w:r>
      <w:r w:rsidR="00287C41">
        <w:t>will get</w:t>
      </w:r>
      <w:r w:rsidR="00D32D49">
        <w:t xml:space="preserve"> his</w:t>
      </w:r>
      <w:r w:rsidR="00287C41">
        <w:t xml:space="preserve"> attention </w:t>
      </w:r>
      <w:r w:rsidR="00D32D49">
        <w:t>in</w:t>
      </w:r>
      <w:r w:rsidR="00287C41">
        <w:t xml:space="preserve"> examining </w:t>
      </w:r>
      <w:r w:rsidR="00287C41">
        <w:t>a 2018-filed patent application</w:t>
      </w:r>
      <w:r w:rsidR="00287C41" w:rsidRPr="00287C41">
        <w:t xml:space="preserve"> </w:t>
      </w:r>
      <w:r w:rsidR="00287C41">
        <w:t xml:space="preserve">A </w:t>
      </w:r>
      <w:r w:rsidR="00287C41">
        <w:t xml:space="preserve">whose scope encompasses </w:t>
      </w:r>
      <w:r w:rsidR="00287C41">
        <w:t>P’s</w:t>
      </w:r>
      <w:r w:rsidR="00287C41">
        <w:t xml:space="preserve"> initial mixture</w:t>
      </w:r>
      <w:r w:rsidR="00287C41">
        <w:t xml:space="preserve">.  P’s </w:t>
      </w:r>
      <w:r w:rsidR="00287C41" w:rsidRPr="00C73FDD">
        <w:rPr>
          <w:i/>
        </w:rPr>
        <w:t>technical personality</w:t>
      </w:r>
      <w:r w:rsidR="00287C41">
        <w:t xml:space="preserve"> makes it an obstacle to </w:t>
      </w:r>
      <w:r w:rsidR="00287C41">
        <w:t>A.</w:t>
      </w:r>
    </w:p>
    <w:p w14:paraId="3D393775" w14:textId="77777777" w:rsidR="00C73FDD" w:rsidRDefault="00C73FDD" w:rsidP="00C73FDD">
      <w:pPr>
        <w:jc w:val="both"/>
      </w:pPr>
    </w:p>
    <w:p w14:paraId="537275C2" w14:textId="2D6A6E4E" w:rsidR="00C73FDD" w:rsidRPr="00C73FDD" w:rsidRDefault="00C73FDD" w:rsidP="00C73FDD">
      <w:pPr>
        <w:jc w:val="both"/>
        <w:rPr>
          <w:b/>
          <w:i/>
        </w:rPr>
      </w:pPr>
      <w:r>
        <w:rPr>
          <w:b/>
          <w:i/>
        </w:rPr>
        <w:t>“</w:t>
      </w:r>
      <w:r w:rsidR="00287C41">
        <w:rPr>
          <w:b/>
          <w:i/>
        </w:rPr>
        <w:t xml:space="preserve">And P’s legal personality is relevant to </w:t>
      </w:r>
      <w:r w:rsidRPr="00C73FDD">
        <w:rPr>
          <w:b/>
          <w:i/>
        </w:rPr>
        <w:t>infringement - is that right?</w:t>
      </w:r>
      <w:r>
        <w:rPr>
          <w:b/>
          <w:i/>
        </w:rPr>
        <w:t>”</w:t>
      </w:r>
    </w:p>
    <w:p w14:paraId="064ECACB" w14:textId="77777777" w:rsidR="00C73FDD" w:rsidRDefault="00C73FDD" w:rsidP="00C73FDD">
      <w:pPr>
        <w:pStyle w:val="ListParagraph"/>
        <w:ind w:left="340"/>
        <w:jc w:val="both"/>
      </w:pPr>
    </w:p>
    <w:p w14:paraId="1CE05788" w14:textId="5EB66085" w:rsidR="00A71ABC" w:rsidRDefault="00C73FDD" w:rsidP="00287C41">
      <w:pPr>
        <w:jc w:val="both"/>
      </w:pPr>
      <w:r>
        <w:t xml:space="preserve">Yes, </w:t>
      </w:r>
      <w:r w:rsidR="00287C41">
        <w:t xml:space="preserve">P </w:t>
      </w:r>
      <w:r w:rsidR="00287C41">
        <w:t xml:space="preserve">may </w:t>
      </w:r>
      <w:r w:rsidR="00287C41" w:rsidRPr="00C73FDD">
        <w:rPr>
          <w:u w:val="single"/>
        </w:rPr>
        <w:t>claim</w:t>
      </w:r>
      <w:r w:rsidR="00287C41">
        <w:t xml:space="preserve"> legal rights in the final paint</w:t>
      </w:r>
      <w:r w:rsidR="00287C41">
        <w:t xml:space="preserve"> and that</w:t>
      </w:r>
      <w:r w:rsidR="00157532">
        <w:t xml:space="preserve"> </w:t>
      </w:r>
      <w:r w:rsidR="00176BCC">
        <w:t>affects</w:t>
      </w:r>
      <w:r w:rsidR="00157532">
        <w:t xml:space="preserve"> third party freedom to operate</w:t>
      </w:r>
      <w:r w:rsidR="00176BCC" w:rsidRPr="00C73FDD">
        <w:rPr>
          <w:b/>
          <w:i/>
        </w:rPr>
        <w:t xml:space="preserve">. </w:t>
      </w:r>
      <w:r w:rsidR="00176BCC">
        <w:t>U</w:t>
      </w:r>
      <w:r w:rsidR="00157532">
        <w:t xml:space="preserve">nlicensed making of the final formulation </w:t>
      </w:r>
      <w:r w:rsidR="00176BCC">
        <w:t xml:space="preserve">would infringe </w:t>
      </w:r>
      <w:r w:rsidR="00E20236">
        <w:t xml:space="preserve">rights given by </w:t>
      </w:r>
      <w:r w:rsidR="00176BCC">
        <w:t>patent P</w:t>
      </w:r>
      <w:r w:rsidR="006209F3">
        <w:t>, as</w:t>
      </w:r>
      <w:r>
        <w:t xml:space="preserve"> would selling</w:t>
      </w:r>
      <w:r w:rsidR="003F50A5">
        <w:t xml:space="preserve"> </w:t>
      </w:r>
      <w:r>
        <w:t xml:space="preserve">and </w:t>
      </w:r>
      <w:r w:rsidR="003F50A5">
        <w:t>other types of infringing activity</w:t>
      </w:r>
      <w:r w:rsidR="00A71ABC">
        <w:t xml:space="preserve"> such as using the formulation for some purpose</w:t>
      </w:r>
      <w:r w:rsidR="00176BCC">
        <w:t xml:space="preserve">.  </w:t>
      </w:r>
    </w:p>
    <w:p w14:paraId="19138E87" w14:textId="77777777" w:rsidR="00A71ABC" w:rsidRDefault="00A71ABC" w:rsidP="00287C41">
      <w:pPr>
        <w:jc w:val="both"/>
      </w:pPr>
    </w:p>
    <w:p w14:paraId="1DA524C8" w14:textId="19EDCBCB" w:rsidR="004477E3" w:rsidRDefault="00ED396D" w:rsidP="00287C41">
      <w:pPr>
        <w:jc w:val="both"/>
      </w:pPr>
      <w:r>
        <w:t xml:space="preserve">But </w:t>
      </w:r>
      <w:r w:rsidR="00A71ABC">
        <w:t>this assumes</w:t>
      </w:r>
      <w:r w:rsidR="00E20236">
        <w:t xml:space="preserve"> </w:t>
      </w:r>
      <w:r w:rsidR="003F50A5">
        <w:t>p</w:t>
      </w:r>
      <w:r w:rsidR="00E20236">
        <w:t xml:space="preserve">atent P is in force where that </w:t>
      </w:r>
      <w:r w:rsidR="00A71ABC">
        <w:t>activity</w:t>
      </w:r>
      <w:r w:rsidR="00E20236">
        <w:t xml:space="preserve"> takes place.  </w:t>
      </w:r>
      <w:r w:rsidR="00B35022">
        <w:t>L</w:t>
      </w:r>
      <w:r w:rsidR="004477E3">
        <w:t xml:space="preserve">egal </w:t>
      </w:r>
      <w:r w:rsidR="00157532">
        <w:t>rights a patent claims are</w:t>
      </w:r>
      <w:r w:rsidR="004477E3">
        <w:t xml:space="preserve"> geographically restricted and </w:t>
      </w:r>
      <w:r w:rsidR="0000556A">
        <w:t>ha</w:t>
      </w:r>
      <w:r w:rsidR="003E517B">
        <w:t>ve</w:t>
      </w:r>
      <w:r w:rsidR="00AA2934">
        <w:t xml:space="preserve"> a limited</w:t>
      </w:r>
      <w:r w:rsidR="00355DD8">
        <w:t xml:space="preserve"> </w:t>
      </w:r>
      <w:r w:rsidR="0000556A">
        <w:t xml:space="preserve">life </w:t>
      </w:r>
      <w:r w:rsidR="00355DD8">
        <w:t>(think 20 years</w:t>
      </w:r>
      <w:r w:rsidR="00AA2934">
        <w:t xml:space="preserve"> maximum</w:t>
      </w:r>
      <w:r w:rsidR="002A1557">
        <w:t xml:space="preserve"> in Europe</w:t>
      </w:r>
      <w:r w:rsidR="004477E3">
        <w:t>)</w:t>
      </w:r>
      <w:r w:rsidR="00355DD8">
        <w:t xml:space="preserve">. </w:t>
      </w:r>
    </w:p>
    <w:p w14:paraId="52AFEB1C" w14:textId="77777777" w:rsidR="00A71ABC" w:rsidRDefault="00A71ABC" w:rsidP="00287C41">
      <w:pPr>
        <w:jc w:val="both"/>
      </w:pPr>
    </w:p>
    <w:p w14:paraId="1631E72F" w14:textId="77777777" w:rsidR="008B7F90" w:rsidRDefault="008B7F90" w:rsidP="00A71ABC">
      <w:pPr>
        <w:jc w:val="both"/>
      </w:pPr>
    </w:p>
    <w:p w14:paraId="009C90F9" w14:textId="77777777" w:rsidR="008B7F90" w:rsidRDefault="008B7F90" w:rsidP="00A71ABC">
      <w:pPr>
        <w:jc w:val="both"/>
      </w:pPr>
    </w:p>
    <w:p w14:paraId="680E0063" w14:textId="77777777" w:rsidR="008B7F90" w:rsidRDefault="008B7F90" w:rsidP="00A71ABC">
      <w:pPr>
        <w:jc w:val="both"/>
      </w:pPr>
    </w:p>
    <w:p w14:paraId="1AEE5F7E" w14:textId="77777777" w:rsidR="008B7F90" w:rsidRDefault="008B7F90" w:rsidP="00A71ABC">
      <w:pPr>
        <w:jc w:val="both"/>
      </w:pPr>
    </w:p>
    <w:p w14:paraId="7410CFC9" w14:textId="7C31BB60" w:rsidR="00A71ABC" w:rsidRDefault="00A71ABC" w:rsidP="00A71ABC">
      <w:pPr>
        <w:jc w:val="both"/>
        <w:rPr>
          <w:b/>
          <w:i/>
        </w:rPr>
      </w:pPr>
      <w:r>
        <w:lastRenderedPageBreak/>
        <w:t>“</w:t>
      </w:r>
      <w:r w:rsidR="004477E3" w:rsidRPr="00A71ABC">
        <w:rPr>
          <w:b/>
          <w:i/>
        </w:rPr>
        <w:t>So</w:t>
      </w:r>
      <w:r w:rsidR="00D32D49">
        <w:rPr>
          <w:b/>
          <w:i/>
        </w:rPr>
        <w:t xml:space="preserve"> </w:t>
      </w:r>
      <w:r w:rsidRPr="00A71ABC">
        <w:rPr>
          <w:b/>
          <w:i/>
        </w:rPr>
        <w:t>….”</w:t>
      </w:r>
    </w:p>
    <w:p w14:paraId="3A9F917A" w14:textId="77777777" w:rsidR="008B7F90" w:rsidRDefault="008B7F90" w:rsidP="00A71ABC">
      <w:pPr>
        <w:jc w:val="both"/>
        <w:rPr>
          <w:b/>
          <w:i/>
        </w:rPr>
      </w:pPr>
    </w:p>
    <w:p w14:paraId="6380C826" w14:textId="4E595E11" w:rsidR="00452F27" w:rsidRDefault="00D32D49" w:rsidP="008B7F90">
      <w:pPr>
        <w:jc w:val="both"/>
      </w:pPr>
      <w:r>
        <w:t>.</w:t>
      </w:r>
      <w:r w:rsidR="004477E3">
        <w:t xml:space="preserve">… a patent document’s </w:t>
      </w:r>
      <w:r w:rsidR="004477E3" w:rsidRPr="008B7F90">
        <w:rPr>
          <w:i/>
        </w:rPr>
        <w:t>technical personality</w:t>
      </w:r>
      <w:r w:rsidR="004477E3">
        <w:t xml:space="preserve"> might </w:t>
      </w:r>
      <w:r w:rsidR="002A1557">
        <w:t>obstruct</w:t>
      </w:r>
      <w:r w:rsidR="002A1557">
        <w:t xml:space="preserve"> </w:t>
      </w:r>
      <w:r w:rsidR="004477E3">
        <w:t xml:space="preserve">you getting your own </w:t>
      </w:r>
      <w:r w:rsidR="00176BCC">
        <w:t xml:space="preserve">patent and </w:t>
      </w:r>
      <w:r w:rsidR="00937F6B">
        <w:t xml:space="preserve">its </w:t>
      </w:r>
      <w:r w:rsidR="00937F6B" w:rsidRPr="008B7F90">
        <w:rPr>
          <w:i/>
        </w:rPr>
        <w:t>legal personality</w:t>
      </w:r>
      <w:r w:rsidR="00176BCC">
        <w:t xml:space="preserve"> might </w:t>
      </w:r>
      <w:r w:rsidR="00937F6B">
        <w:t>prevent you com</w:t>
      </w:r>
      <w:r w:rsidR="00E20236">
        <w:t xml:space="preserve">mercialising your innovation </w:t>
      </w:r>
      <w:r w:rsidR="002A1557">
        <w:t xml:space="preserve">in at least some places </w:t>
      </w:r>
      <w:r w:rsidR="00ED396D">
        <w:t xml:space="preserve">- or it could be that only one of these is true and not the other </w:t>
      </w:r>
      <w:r w:rsidR="008B7F90">
        <w:t xml:space="preserve">- </w:t>
      </w:r>
      <w:r w:rsidR="00ED396D">
        <w:t>or neither may apply</w:t>
      </w:r>
      <w:r w:rsidR="002A1557">
        <w:t xml:space="preserve"> (</w:t>
      </w:r>
      <w:r w:rsidR="00ED396D">
        <w:t>it all depends on the facts</w:t>
      </w:r>
      <w:r w:rsidR="002A1557">
        <w:t>)</w:t>
      </w:r>
      <w:r w:rsidR="00937F6B">
        <w:t>.</w:t>
      </w:r>
    </w:p>
    <w:p w14:paraId="557A947B" w14:textId="77777777" w:rsidR="008B7F90" w:rsidRDefault="008B7F90" w:rsidP="008B7F90">
      <w:pPr>
        <w:jc w:val="both"/>
      </w:pPr>
    </w:p>
    <w:p w14:paraId="3438DCF0" w14:textId="77777777" w:rsidR="00126AD9" w:rsidRDefault="00126AD9" w:rsidP="00D32D49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796BB36" wp14:editId="2204CC91">
                <wp:simplePos x="0" y="0"/>
                <wp:positionH relativeFrom="column">
                  <wp:posOffset>2419350</wp:posOffset>
                </wp:positionH>
                <wp:positionV relativeFrom="paragraph">
                  <wp:posOffset>158115</wp:posOffset>
                </wp:positionV>
                <wp:extent cx="1238250" cy="1404620"/>
                <wp:effectExtent l="0" t="0" r="0" b="0"/>
                <wp:wrapSquare wrapText="bothSides"/>
                <wp:docPr id="217" name="Text Box 2">
                  <a:hlinkClick xmlns:a="http://schemas.openxmlformats.org/drawingml/2006/main" r:id="rId8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1404620"/>
                        </a:xfrm>
                        <a:prstGeom prst="rect">
                          <a:avLst/>
                        </a:prstGeom>
                        <a:solidFill>
                          <a:srgbClr val="F4901E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FE010D" w14:textId="77777777" w:rsidR="00126AD9" w:rsidRPr="00126AD9" w:rsidRDefault="005008C4">
                            <w:p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Opt-in to SNIPE</w:t>
                            </w:r>
                            <w:r w:rsidR="00126AD9" w:rsidRPr="00126AD9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796BB36" id="Text Box 2" o:spid="_x0000_s1031" type="#_x0000_t202" href="http://www.concerto-iplaw.com/gdpr2/" style="position:absolute;margin-left:190.5pt;margin-top:12.45pt;width:97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" o:button="t" fillcolor="#f4901e" stroked="f">
                <v:fill o:detectmouseclick="t"/>
                <v:textbox style="mso-fit-shape-to-text:t">
                  <w:txbxContent>
                    <w:p w14:paraId="7AFE010D" w14:textId="77777777" w:rsidR="00126AD9" w:rsidRPr="00126AD9" w:rsidRDefault="005008C4">
                      <w:pPr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>Opt-in to SNIPE</w:t>
                      </w:r>
                      <w:r w:rsidR="00126AD9" w:rsidRPr="00126AD9">
                        <w:rPr>
                          <w:color w:val="FFFFFF" w:themeColor="background1"/>
                          <w:sz w:val="24"/>
                          <w:szCs w:val="24"/>
                        </w:rPr>
                        <w:t>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480C379" w14:textId="77777777" w:rsidR="00C5736E" w:rsidRPr="00126AD9" w:rsidRDefault="005008C4" w:rsidP="00452F27">
      <w:pPr>
        <w:rPr>
          <w:sz w:val="24"/>
          <w:szCs w:val="24"/>
        </w:rPr>
      </w:pPr>
      <w:r>
        <w:rPr>
          <w:sz w:val="24"/>
          <w:szCs w:val="24"/>
        </w:rPr>
        <w:t>Opt-in to receive SNIPE</w:t>
      </w:r>
      <w:r w:rsidR="00C5736E" w:rsidRPr="00126AD9">
        <w:rPr>
          <w:sz w:val="24"/>
          <w:szCs w:val="24"/>
        </w:rPr>
        <w:t xml:space="preserve">T </w:t>
      </w:r>
      <w:r w:rsidR="00126AD9" w:rsidRPr="00126AD9">
        <w:rPr>
          <w:sz w:val="24"/>
          <w:szCs w:val="24"/>
        </w:rPr>
        <w:t>by email</w:t>
      </w:r>
      <w:r w:rsidR="00126AD9">
        <w:rPr>
          <w:sz w:val="24"/>
          <w:szCs w:val="24"/>
        </w:rPr>
        <w:t xml:space="preserve">:   </w:t>
      </w:r>
    </w:p>
    <w:p w14:paraId="5AD7BC17" w14:textId="77777777" w:rsidR="009C0AC0" w:rsidRDefault="009C0AC0" w:rsidP="009C0AC0"/>
    <w:p w14:paraId="2157B4F8" w14:textId="77777777" w:rsidR="009C0AC0" w:rsidRDefault="009C0AC0" w:rsidP="009C0AC0"/>
    <w:p w14:paraId="2BD6867D" w14:textId="4D243CB4" w:rsidR="003C4382" w:rsidRPr="00DE4318" w:rsidRDefault="003C4382" w:rsidP="00DE4318">
      <w:pPr>
        <w:jc w:val="both"/>
      </w:pPr>
    </w:p>
    <w:sectPr w:rsidR="003C4382" w:rsidRPr="00DE4318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C687A2" w14:textId="77777777" w:rsidR="00B43C1A" w:rsidRDefault="00B43C1A" w:rsidP="00937F6B">
      <w:r>
        <w:separator/>
      </w:r>
    </w:p>
  </w:endnote>
  <w:endnote w:type="continuationSeparator" w:id="0">
    <w:p w14:paraId="0011A0EF" w14:textId="77777777" w:rsidR="00B43C1A" w:rsidRDefault="00B43C1A" w:rsidP="00937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EA800C"/>
      </w:rPr>
      <w:id w:val="-1920004134"/>
      <w:docPartObj>
        <w:docPartGallery w:val="Page Numbers (Bottom of Page)"/>
        <w:docPartUnique/>
      </w:docPartObj>
    </w:sdtPr>
    <w:sdtEndPr>
      <w:rPr>
        <w:b/>
        <w:noProof/>
      </w:rPr>
    </w:sdtEndPr>
    <w:sdtContent>
      <w:p w14:paraId="43AC5869" w14:textId="77777777" w:rsidR="00937F6B" w:rsidRPr="00926FEC" w:rsidRDefault="00937F6B">
        <w:pPr>
          <w:pStyle w:val="Footer"/>
          <w:rPr>
            <w:b/>
            <w:color w:val="EA800C"/>
          </w:rPr>
        </w:pPr>
        <w:r w:rsidRPr="00926FEC">
          <w:rPr>
            <w:b/>
            <w:color w:val="EA800C"/>
          </w:rPr>
          <w:t xml:space="preserve">Page | </w:t>
        </w:r>
        <w:r w:rsidRPr="00926FEC">
          <w:rPr>
            <w:b/>
            <w:color w:val="EA800C"/>
          </w:rPr>
          <w:fldChar w:fldCharType="begin"/>
        </w:r>
        <w:r w:rsidRPr="00926FEC">
          <w:rPr>
            <w:b/>
            <w:color w:val="EA800C"/>
          </w:rPr>
          <w:instrText xml:space="preserve"> PAGE   \* MERGEFORMAT </w:instrText>
        </w:r>
        <w:r w:rsidRPr="00926FEC">
          <w:rPr>
            <w:b/>
            <w:color w:val="EA800C"/>
          </w:rPr>
          <w:fldChar w:fldCharType="separate"/>
        </w:r>
        <w:r w:rsidR="00AA2934" w:rsidRPr="00926FEC">
          <w:rPr>
            <w:b/>
            <w:noProof/>
            <w:color w:val="EA800C"/>
          </w:rPr>
          <w:t>2</w:t>
        </w:r>
        <w:r w:rsidRPr="00926FEC">
          <w:rPr>
            <w:b/>
            <w:noProof/>
            <w:color w:val="EA800C"/>
          </w:rPr>
          <w:fldChar w:fldCharType="end"/>
        </w:r>
        <w:r w:rsidRPr="00926FEC">
          <w:rPr>
            <w:b/>
            <w:noProof/>
            <w:color w:val="EA800C"/>
          </w:rPr>
          <w:t>/2</w:t>
        </w:r>
      </w:p>
    </w:sdtContent>
  </w:sdt>
  <w:p w14:paraId="45C89A0C" w14:textId="77777777" w:rsidR="00937F6B" w:rsidRDefault="00937F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DE052B" w14:textId="77777777" w:rsidR="00B43C1A" w:rsidRDefault="00B43C1A" w:rsidP="00937F6B">
      <w:r>
        <w:separator/>
      </w:r>
    </w:p>
  </w:footnote>
  <w:footnote w:type="continuationSeparator" w:id="0">
    <w:p w14:paraId="6D3F95DA" w14:textId="77777777" w:rsidR="00B43C1A" w:rsidRDefault="00B43C1A" w:rsidP="00937F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2942EB"/>
    <w:multiLevelType w:val="hybridMultilevel"/>
    <w:tmpl w:val="A1DC2138"/>
    <w:lvl w:ilvl="0" w:tplc="8702F34E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1" w15:restartNumberingAfterBreak="0">
    <w:nsid w:val="23DF6DE6"/>
    <w:multiLevelType w:val="hybridMultilevel"/>
    <w:tmpl w:val="270EC986"/>
    <w:lvl w:ilvl="0" w:tplc="D7E88DAE">
      <w:start w:val="1"/>
      <w:numFmt w:val="decimal"/>
      <w:lvlText w:val="%1."/>
      <w:lvlJc w:val="left"/>
      <w:pPr>
        <w:ind w:left="284" w:hanging="284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2D4BB8"/>
    <w:multiLevelType w:val="hybridMultilevel"/>
    <w:tmpl w:val="09E6FF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0AC0"/>
    <w:rsid w:val="0000556A"/>
    <w:rsid w:val="00045F3A"/>
    <w:rsid w:val="00113341"/>
    <w:rsid w:val="00126AD9"/>
    <w:rsid w:val="00157532"/>
    <w:rsid w:val="00176BCC"/>
    <w:rsid w:val="001E582C"/>
    <w:rsid w:val="00287C41"/>
    <w:rsid w:val="002A1557"/>
    <w:rsid w:val="00355DD8"/>
    <w:rsid w:val="003737F8"/>
    <w:rsid w:val="003C4382"/>
    <w:rsid w:val="003E517B"/>
    <w:rsid w:val="003F50A5"/>
    <w:rsid w:val="004477E3"/>
    <w:rsid w:val="00452F27"/>
    <w:rsid w:val="004B498E"/>
    <w:rsid w:val="005008C4"/>
    <w:rsid w:val="005545EE"/>
    <w:rsid w:val="005840D0"/>
    <w:rsid w:val="006209F3"/>
    <w:rsid w:val="006707A7"/>
    <w:rsid w:val="00693144"/>
    <w:rsid w:val="006D7971"/>
    <w:rsid w:val="006F4FB2"/>
    <w:rsid w:val="00705C13"/>
    <w:rsid w:val="00805AD7"/>
    <w:rsid w:val="008B7F90"/>
    <w:rsid w:val="00926FEC"/>
    <w:rsid w:val="00937F6B"/>
    <w:rsid w:val="009567BC"/>
    <w:rsid w:val="009B02F6"/>
    <w:rsid w:val="009B652B"/>
    <w:rsid w:val="009C0AC0"/>
    <w:rsid w:val="009E5033"/>
    <w:rsid w:val="009F141F"/>
    <w:rsid w:val="009F57F0"/>
    <w:rsid w:val="00A17C1C"/>
    <w:rsid w:val="00A71ABC"/>
    <w:rsid w:val="00AA2934"/>
    <w:rsid w:val="00B35022"/>
    <w:rsid w:val="00B43C1A"/>
    <w:rsid w:val="00B475C8"/>
    <w:rsid w:val="00BA69B0"/>
    <w:rsid w:val="00C04453"/>
    <w:rsid w:val="00C5736E"/>
    <w:rsid w:val="00C73FDD"/>
    <w:rsid w:val="00CD6FDB"/>
    <w:rsid w:val="00CF34FA"/>
    <w:rsid w:val="00D12E99"/>
    <w:rsid w:val="00D32D49"/>
    <w:rsid w:val="00DC6713"/>
    <w:rsid w:val="00DE4318"/>
    <w:rsid w:val="00E0208F"/>
    <w:rsid w:val="00E1771B"/>
    <w:rsid w:val="00E20236"/>
    <w:rsid w:val="00ED396D"/>
    <w:rsid w:val="00F53D32"/>
    <w:rsid w:val="00FB0F77"/>
    <w:rsid w:val="00FC1103"/>
    <w:rsid w:val="00FC3FEC"/>
    <w:rsid w:val="00FD08DC"/>
    <w:rsid w:val="00FE2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71B35E"/>
  <w15:chartTrackingRefBased/>
  <w15:docId w15:val="{5C04C1B4-1B0F-42CF-A242-7C200F83E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0AC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0AC0"/>
    <w:pPr>
      <w:ind w:left="720"/>
    </w:pPr>
  </w:style>
  <w:style w:type="paragraph" w:styleId="NormalWeb">
    <w:name w:val="Normal (Web)"/>
    <w:basedOn w:val="Normal"/>
    <w:uiPriority w:val="99"/>
    <w:semiHidden/>
    <w:unhideWhenUsed/>
    <w:rsid w:val="00937F6B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937F6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7F6B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937F6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7F6B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937F6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7F6B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4F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F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88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certo-iplaw.com/gdpr2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464199-D791-4C52-BF8C-3C8A0DD7A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412</Words>
  <Characters>2193</Characters>
  <Application>Microsoft Office Word</Application>
  <DocSecurity>0</DocSecurity>
  <Lines>57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Malcolm Lawrence</dc:creator>
  <cp:keywords/>
  <dc:description/>
  <cp:lastModifiedBy>Malcolm Lawrence</cp:lastModifiedBy>
  <cp:revision>2</cp:revision>
  <cp:lastPrinted>2018-06-12T13:15:00Z</cp:lastPrinted>
  <dcterms:created xsi:type="dcterms:W3CDTF">2018-06-12T16:56:00Z</dcterms:created>
  <dcterms:modified xsi:type="dcterms:W3CDTF">2018-06-12T16:56:00Z</dcterms:modified>
</cp:coreProperties>
</file>